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4E" w14:textId="0D625A52" w:rsidR="00CF38BE" w:rsidRDefault="00424402">
      <w:pPr>
        <w:jc w:val="center"/>
        <w:rPr>
          <w:rFonts w:ascii="Palatino Linotype" w:eastAsia="Palatino Linotype" w:hAnsi="Palatino Linotype" w:cs="Palatino Linotype"/>
          <w:sz w:val="28"/>
          <w:szCs w:val="28"/>
        </w:rPr>
      </w:pPr>
      <w:bookmarkStart w:id="0" w:name="_GoBack"/>
      <w:bookmarkEnd w:id="0"/>
      <w:r>
        <w:rPr>
          <w:rFonts w:ascii="Palatino Linotype" w:eastAsia="Palatino Linotype" w:hAnsi="Palatino Linotype" w:cs="Palatino Linotype"/>
          <w:sz w:val="28"/>
          <w:szCs w:val="28"/>
        </w:rPr>
        <w:t>Scoring Sheet</w:t>
      </w:r>
    </w:p>
    <w:p w14:paraId="0000004F" w14:textId="77777777" w:rsidR="00CF38BE" w:rsidRDefault="00CF38BE">
      <w:pPr>
        <w:rPr>
          <w:rFonts w:ascii="Palatino Linotype" w:eastAsia="Palatino Linotype" w:hAnsi="Palatino Linotype" w:cs="Palatino Linotype"/>
          <w:sz w:val="28"/>
          <w:szCs w:val="28"/>
        </w:rPr>
      </w:pPr>
    </w:p>
    <w:tbl>
      <w:tblPr>
        <w:tblStyle w:val="a0"/>
        <w:tblW w:w="90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73"/>
        <w:gridCol w:w="2098"/>
      </w:tblGrid>
      <w:tr w:rsidR="00CF38BE" w14:paraId="09B9D09D" w14:textId="77777777">
        <w:tc>
          <w:tcPr>
            <w:tcW w:w="6973" w:type="dxa"/>
            <w:tcBorders>
              <w:top w:val="nil"/>
              <w:left w:val="nil"/>
            </w:tcBorders>
          </w:tcPr>
          <w:p w14:paraId="00000050" w14:textId="77777777" w:rsidR="00CF38BE" w:rsidRDefault="00CF38BE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098" w:type="dxa"/>
          </w:tcPr>
          <w:p w14:paraId="00000051" w14:textId="77777777" w:rsidR="00CF38BE" w:rsidRDefault="00424402">
            <w:pPr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Ok?</w:t>
            </w:r>
          </w:p>
        </w:tc>
      </w:tr>
      <w:tr w:rsidR="00CF38BE" w14:paraId="3884BD79" w14:textId="77777777">
        <w:tc>
          <w:tcPr>
            <w:tcW w:w="6973" w:type="dxa"/>
          </w:tcPr>
          <w:p w14:paraId="00000052" w14:textId="63E452CD" w:rsidR="00CF38BE" w:rsidRDefault="00424402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The research complies with the scope of FIRRI.</w:t>
            </w:r>
          </w:p>
        </w:tc>
        <w:tc>
          <w:tcPr>
            <w:tcW w:w="2098" w:type="dxa"/>
          </w:tcPr>
          <w:p w14:paraId="00000053" w14:textId="77777777" w:rsidR="00CF38BE" w:rsidRDefault="00CF38BE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CF38BE" w14:paraId="5765ABC3" w14:textId="77777777">
        <w:tc>
          <w:tcPr>
            <w:tcW w:w="6973" w:type="dxa"/>
          </w:tcPr>
          <w:p w14:paraId="00000054" w14:textId="77777777" w:rsidR="00CF38BE" w:rsidRDefault="00424402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The abstract complies with the template.</w:t>
            </w:r>
          </w:p>
        </w:tc>
        <w:tc>
          <w:tcPr>
            <w:tcW w:w="2098" w:type="dxa"/>
          </w:tcPr>
          <w:p w14:paraId="00000055" w14:textId="77777777" w:rsidR="00CF38BE" w:rsidRDefault="00CF38BE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</w:tbl>
    <w:p w14:paraId="00000056" w14:textId="77777777" w:rsidR="00CF38BE" w:rsidRDefault="00CF38BE">
      <w:pPr>
        <w:rPr>
          <w:rFonts w:ascii="Palatino Linotype" w:eastAsia="Palatino Linotype" w:hAnsi="Palatino Linotype" w:cs="Palatino Linotype"/>
        </w:rPr>
      </w:pPr>
    </w:p>
    <w:p w14:paraId="00000057" w14:textId="77777777" w:rsidR="00CF38BE" w:rsidRDefault="00CF38BE">
      <w:pPr>
        <w:rPr>
          <w:rFonts w:ascii="Palatino Linotype" w:eastAsia="Palatino Linotype" w:hAnsi="Palatino Linotype" w:cs="Palatino Linotype"/>
          <w:sz w:val="28"/>
          <w:szCs w:val="28"/>
        </w:rPr>
      </w:pPr>
    </w:p>
    <w:tbl>
      <w:tblPr>
        <w:tblStyle w:val="a1"/>
        <w:tblW w:w="907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  <w:gridCol w:w="1042"/>
        <w:gridCol w:w="1042"/>
        <w:gridCol w:w="1042"/>
      </w:tblGrid>
      <w:tr w:rsidR="00CF38BE" w14:paraId="727B4BC0" w14:textId="77777777">
        <w:tc>
          <w:tcPr>
            <w:tcW w:w="5953" w:type="dxa"/>
            <w:tcBorders>
              <w:top w:val="nil"/>
              <w:left w:val="nil"/>
            </w:tcBorders>
          </w:tcPr>
          <w:p w14:paraId="00000058" w14:textId="77777777" w:rsidR="00CF38BE" w:rsidRDefault="00CF38BE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042" w:type="dxa"/>
          </w:tcPr>
          <w:p w14:paraId="00000059" w14:textId="77777777" w:rsidR="00CF38BE" w:rsidRDefault="00424402">
            <w:pPr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Above Average</w:t>
            </w:r>
          </w:p>
        </w:tc>
        <w:tc>
          <w:tcPr>
            <w:tcW w:w="1042" w:type="dxa"/>
          </w:tcPr>
          <w:p w14:paraId="0000005A" w14:textId="77777777" w:rsidR="00CF38BE" w:rsidRDefault="00424402">
            <w:pPr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Average</w:t>
            </w:r>
          </w:p>
        </w:tc>
        <w:tc>
          <w:tcPr>
            <w:tcW w:w="1042" w:type="dxa"/>
          </w:tcPr>
          <w:p w14:paraId="0000005B" w14:textId="77777777" w:rsidR="00CF38BE" w:rsidRDefault="00424402">
            <w:pPr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Below Average</w:t>
            </w:r>
          </w:p>
        </w:tc>
      </w:tr>
      <w:tr w:rsidR="00CF38BE" w14:paraId="7F1604E0" w14:textId="77777777">
        <w:tc>
          <w:tcPr>
            <w:tcW w:w="5953" w:type="dxa"/>
            <w:vAlign w:val="center"/>
          </w:tcPr>
          <w:p w14:paraId="0000005C" w14:textId="77777777" w:rsidR="00CF38BE" w:rsidRDefault="00424402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The background and relevance are clearly described.</w:t>
            </w:r>
          </w:p>
          <w:p w14:paraId="0000005D" w14:textId="77777777" w:rsidR="00CF38BE" w:rsidRDefault="00CF38BE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042" w:type="dxa"/>
          </w:tcPr>
          <w:p w14:paraId="0000005E" w14:textId="77777777" w:rsidR="00CF38BE" w:rsidRDefault="00CF38BE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042" w:type="dxa"/>
          </w:tcPr>
          <w:p w14:paraId="0000005F" w14:textId="77777777" w:rsidR="00CF38BE" w:rsidRDefault="00CF38BE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042" w:type="dxa"/>
          </w:tcPr>
          <w:p w14:paraId="00000060" w14:textId="77777777" w:rsidR="00CF38BE" w:rsidRDefault="00CF38BE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CF38BE" w14:paraId="0AC5F698" w14:textId="77777777">
        <w:tc>
          <w:tcPr>
            <w:tcW w:w="5953" w:type="dxa"/>
            <w:vAlign w:val="center"/>
          </w:tcPr>
          <w:p w14:paraId="00000061" w14:textId="77777777" w:rsidR="00CF38BE" w:rsidRDefault="00424402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The methodology is sound.</w:t>
            </w:r>
          </w:p>
          <w:p w14:paraId="00000062" w14:textId="77777777" w:rsidR="00CF38BE" w:rsidRDefault="00CF38BE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042" w:type="dxa"/>
          </w:tcPr>
          <w:p w14:paraId="00000063" w14:textId="77777777" w:rsidR="00CF38BE" w:rsidRDefault="00CF38BE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042" w:type="dxa"/>
          </w:tcPr>
          <w:p w14:paraId="00000064" w14:textId="77777777" w:rsidR="00CF38BE" w:rsidRDefault="00CF38BE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042" w:type="dxa"/>
          </w:tcPr>
          <w:p w14:paraId="00000065" w14:textId="77777777" w:rsidR="00CF38BE" w:rsidRDefault="00CF38BE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CF38BE" w14:paraId="6791EA60" w14:textId="77777777">
        <w:tc>
          <w:tcPr>
            <w:tcW w:w="5953" w:type="dxa"/>
            <w:vAlign w:val="center"/>
          </w:tcPr>
          <w:p w14:paraId="00000066" w14:textId="77777777" w:rsidR="00CF38BE" w:rsidRDefault="00424402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The data/arguments/reasoning are solid and suited to provide an answer to the research question.</w:t>
            </w:r>
          </w:p>
        </w:tc>
        <w:tc>
          <w:tcPr>
            <w:tcW w:w="1042" w:type="dxa"/>
          </w:tcPr>
          <w:p w14:paraId="00000067" w14:textId="77777777" w:rsidR="00CF38BE" w:rsidRDefault="00CF38BE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042" w:type="dxa"/>
          </w:tcPr>
          <w:p w14:paraId="00000068" w14:textId="77777777" w:rsidR="00CF38BE" w:rsidRDefault="00CF38BE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042" w:type="dxa"/>
          </w:tcPr>
          <w:p w14:paraId="00000069" w14:textId="77777777" w:rsidR="00CF38BE" w:rsidRDefault="00CF38BE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CF38BE" w14:paraId="63D957D0" w14:textId="77777777">
        <w:tc>
          <w:tcPr>
            <w:tcW w:w="5953" w:type="dxa"/>
            <w:vAlign w:val="center"/>
          </w:tcPr>
          <w:p w14:paraId="0000006A" w14:textId="77777777" w:rsidR="00CF38BE" w:rsidRDefault="00424402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When there is quantitative data in the abstract, are appropriate statistical tests being performed.</w:t>
            </w:r>
          </w:p>
        </w:tc>
        <w:tc>
          <w:tcPr>
            <w:tcW w:w="1042" w:type="dxa"/>
          </w:tcPr>
          <w:p w14:paraId="0000006B" w14:textId="77777777" w:rsidR="00CF38BE" w:rsidRDefault="00CF38BE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042" w:type="dxa"/>
          </w:tcPr>
          <w:p w14:paraId="0000006C" w14:textId="77777777" w:rsidR="00CF38BE" w:rsidRDefault="00CF38BE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042" w:type="dxa"/>
          </w:tcPr>
          <w:p w14:paraId="0000006D" w14:textId="77777777" w:rsidR="00CF38BE" w:rsidRDefault="00CF38BE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CF38BE" w14:paraId="240AB8D5" w14:textId="77777777">
        <w:tc>
          <w:tcPr>
            <w:tcW w:w="5953" w:type="dxa"/>
            <w:vAlign w:val="center"/>
          </w:tcPr>
          <w:p w14:paraId="0000006E" w14:textId="77777777" w:rsidR="00CF38BE" w:rsidRDefault="00424402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There is a clear conclusion. The conclusion can be drawn based upon the provided evidence (design/power)</w:t>
            </w:r>
          </w:p>
        </w:tc>
        <w:tc>
          <w:tcPr>
            <w:tcW w:w="1042" w:type="dxa"/>
          </w:tcPr>
          <w:p w14:paraId="0000006F" w14:textId="77777777" w:rsidR="00CF38BE" w:rsidRDefault="00CF38BE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042" w:type="dxa"/>
          </w:tcPr>
          <w:p w14:paraId="00000070" w14:textId="77777777" w:rsidR="00CF38BE" w:rsidRDefault="00CF38BE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042" w:type="dxa"/>
          </w:tcPr>
          <w:p w14:paraId="00000071" w14:textId="77777777" w:rsidR="00CF38BE" w:rsidRDefault="00CF38BE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CF38BE" w14:paraId="4A6176EE" w14:textId="77777777">
        <w:tc>
          <w:tcPr>
            <w:tcW w:w="5953" w:type="dxa"/>
            <w:vAlign w:val="center"/>
          </w:tcPr>
          <w:p w14:paraId="00000072" w14:textId="77777777" w:rsidR="00CF38BE" w:rsidRDefault="00424402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The work is innovative.</w:t>
            </w:r>
          </w:p>
          <w:p w14:paraId="00000073" w14:textId="77777777" w:rsidR="00CF38BE" w:rsidRDefault="00CF38BE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042" w:type="dxa"/>
          </w:tcPr>
          <w:p w14:paraId="00000074" w14:textId="77777777" w:rsidR="00CF38BE" w:rsidRDefault="00CF38BE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042" w:type="dxa"/>
          </w:tcPr>
          <w:p w14:paraId="00000075" w14:textId="77777777" w:rsidR="00CF38BE" w:rsidRDefault="00CF38BE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042" w:type="dxa"/>
          </w:tcPr>
          <w:p w14:paraId="00000076" w14:textId="77777777" w:rsidR="00CF38BE" w:rsidRDefault="00CF38BE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CF38BE" w14:paraId="181C611B" w14:textId="77777777">
        <w:tc>
          <w:tcPr>
            <w:tcW w:w="5953" w:type="dxa"/>
            <w:vAlign w:val="center"/>
          </w:tcPr>
          <w:p w14:paraId="00000077" w14:textId="77777777" w:rsidR="00CF38BE" w:rsidRDefault="00424402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The work is either highly significant for the respective field or has a potential future high impact (e.g. development of new methodologies/interpretations that will generate new knowledge and impact for society).</w:t>
            </w:r>
          </w:p>
        </w:tc>
        <w:tc>
          <w:tcPr>
            <w:tcW w:w="1042" w:type="dxa"/>
          </w:tcPr>
          <w:p w14:paraId="00000078" w14:textId="77777777" w:rsidR="00CF38BE" w:rsidRDefault="00CF38BE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042" w:type="dxa"/>
          </w:tcPr>
          <w:p w14:paraId="00000079" w14:textId="77777777" w:rsidR="00CF38BE" w:rsidRDefault="00CF38BE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042" w:type="dxa"/>
          </w:tcPr>
          <w:p w14:paraId="0000007A" w14:textId="77777777" w:rsidR="00CF38BE" w:rsidRDefault="00CF38BE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CF38BE" w14:paraId="13C5F7B7" w14:textId="77777777">
        <w:tc>
          <w:tcPr>
            <w:tcW w:w="5953" w:type="dxa"/>
            <w:vAlign w:val="center"/>
          </w:tcPr>
          <w:p w14:paraId="0000007B" w14:textId="77777777" w:rsidR="00CF38BE" w:rsidRDefault="00424402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The abstract has been carefully prepared.</w:t>
            </w:r>
          </w:p>
        </w:tc>
        <w:tc>
          <w:tcPr>
            <w:tcW w:w="1042" w:type="dxa"/>
          </w:tcPr>
          <w:p w14:paraId="0000007C" w14:textId="77777777" w:rsidR="00CF38BE" w:rsidRDefault="00CF38BE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042" w:type="dxa"/>
          </w:tcPr>
          <w:p w14:paraId="0000007D" w14:textId="77777777" w:rsidR="00CF38BE" w:rsidRDefault="00CF38BE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042" w:type="dxa"/>
          </w:tcPr>
          <w:p w14:paraId="0000007E" w14:textId="77777777" w:rsidR="00CF38BE" w:rsidRDefault="00CF38BE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</w:tbl>
    <w:p w14:paraId="0000007F" w14:textId="77777777" w:rsidR="00CF38BE" w:rsidRDefault="00CF38BE">
      <w:pPr>
        <w:rPr>
          <w:rFonts w:ascii="Palatino Linotype" w:eastAsia="Palatino Linotype" w:hAnsi="Palatino Linotype" w:cs="Palatino Linotype"/>
        </w:rPr>
      </w:pPr>
    </w:p>
    <w:p w14:paraId="00000080" w14:textId="77777777" w:rsidR="00CF38BE" w:rsidRDefault="00CF38BE">
      <w:pPr>
        <w:rPr>
          <w:rFonts w:ascii="Palatino Linotype" w:eastAsia="Palatino Linotype" w:hAnsi="Palatino Linotype" w:cs="Palatino Linotype"/>
        </w:rPr>
      </w:pPr>
    </w:p>
    <w:p w14:paraId="00000081" w14:textId="77777777" w:rsidR="00CF38BE" w:rsidRDefault="00CF38BE">
      <w:pPr>
        <w:rPr>
          <w:rFonts w:ascii="Palatino Linotype" w:eastAsia="Palatino Linotype" w:hAnsi="Palatino Linotype" w:cs="Palatino Linotype"/>
        </w:rPr>
      </w:pPr>
    </w:p>
    <w:sectPr w:rsidR="00CF38B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547C6"/>
    <w:multiLevelType w:val="multilevel"/>
    <w:tmpl w:val="617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96552"/>
    <w:multiLevelType w:val="multilevel"/>
    <w:tmpl w:val="A044F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425CF"/>
    <w:multiLevelType w:val="multilevel"/>
    <w:tmpl w:val="3C1C47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C63F29"/>
    <w:multiLevelType w:val="multilevel"/>
    <w:tmpl w:val="AC26C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767F1"/>
    <w:multiLevelType w:val="multilevel"/>
    <w:tmpl w:val="AB38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427B68"/>
    <w:multiLevelType w:val="multilevel"/>
    <w:tmpl w:val="45E2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8BE"/>
    <w:rsid w:val="00296CD6"/>
    <w:rsid w:val="002F2948"/>
    <w:rsid w:val="00390E18"/>
    <w:rsid w:val="00424402"/>
    <w:rsid w:val="0053393F"/>
    <w:rsid w:val="008C4655"/>
    <w:rsid w:val="009E285E"/>
    <w:rsid w:val="00BC6838"/>
    <w:rsid w:val="00CF38BE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F1B1"/>
  <w15:docId w15:val="{A4C0EF2A-D932-441C-A727-D7497429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raster">
    <w:name w:val="Table Grid"/>
    <w:basedOn w:val="Standaardtabel"/>
    <w:uiPriority w:val="39"/>
    <w:rsid w:val="00256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F12E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F12E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F12E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F12E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F12E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F12E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1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12E6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22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2C75"/>
  </w:style>
  <w:style w:type="paragraph" w:styleId="Voettekst">
    <w:name w:val="footer"/>
    <w:basedOn w:val="Standaard"/>
    <w:link w:val="VoettekstChar"/>
    <w:uiPriority w:val="99"/>
    <w:unhideWhenUsed/>
    <w:rsid w:val="00122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2C75"/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BC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fwjU/euP93Wtvj9bB723f2MSMQ==">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Stautemas</dc:creator>
  <cp:lastModifiedBy>VAN HERCK Maarten</cp:lastModifiedBy>
  <cp:revision>2</cp:revision>
  <dcterms:created xsi:type="dcterms:W3CDTF">2022-01-24T19:38:00Z</dcterms:created>
  <dcterms:modified xsi:type="dcterms:W3CDTF">2022-01-24T19:38:00Z</dcterms:modified>
</cp:coreProperties>
</file>